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CD7D0" w14:textId="77777777" w:rsidR="003C04EE" w:rsidRPr="00833471" w:rsidRDefault="003C04EE" w:rsidP="00833471">
      <w:pPr>
        <w:ind w:left="2880"/>
        <w:rPr>
          <w:rFonts w:ascii="Arial" w:hAnsi="Arial" w:cs="Arial"/>
          <w:b/>
          <w:bCs/>
          <w:sz w:val="32"/>
          <w:szCs w:val="32"/>
        </w:rPr>
      </w:pPr>
      <w:r w:rsidRPr="00833471">
        <w:rPr>
          <w:rFonts w:ascii="Arial" w:hAnsi="Arial" w:cs="Arial"/>
          <w:b/>
          <w:bCs/>
          <w:sz w:val="32"/>
          <w:szCs w:val="32"/>
        </w:rPr>
        <w:t>Code of Good Governance</w:t>
      </w:r>
    </w:p>
    <w:p w14:paraId="2D1023ED" w14:textId="77777777" w:rsidR="003C04EE" w:rsidRPr="00760BBD" w:rsidRDefault="003C04EE" w:rsidP="003C04EE">
      <w:pPr>
        <w:rPr>
          <w:rFonts w:ascii="Arial" w:hAnsi="Arial" w:cs="Arial"/>
          <w:b/>
          <w:bCs/>
          <w:sz w:val="24"/>
          <w:szCs w:val="24"/>
        </w:rPr>
      </w:pPr>
      <w:r w:rsidRPr="00760BBD">
        <w:rPr>
          <w:rFonts w:ascii="Arial" w:hAnsi="Arial" w:cs="Arial"/>
          <w:b/>
          <w:bCs/>
          <w:sz w:val="24"/>
          <w:szCs w:val="24"/>
        </w:rPr>
        <w:t>Introduction</w:t>
      </w:r>
    </w:p>
    <w:p w14:paraId="64DDE11C" w14:textId="224A2E95" w:rsidR="003C04EE" w:rsidRPr="00760BBD" w:rsidRDefault="003C04EE" w:rsidP="003C04EE">
      <w:pPr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While the Head leads and manages the school from day to day, a properly constituted Board of</w:t>
      </w:r>
      <w:r w:rsid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</w:t>
      </w: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Governance is an essential part of each member school. Schools show a healthy diversity of types</w:t>
      </w:r>
      <w:r w:rsid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</w:t>
      </w: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of governing body – in size, </w:t>
      </w:r>
      <w:proofErr w:type="gramStart"/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constituency</w:t>
      </w:r>
      <w:proofErr w:type="gramEnd"/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and organisation. There is no perfect solution: each must</w:t>
      </w:r>
      <w:r w:rsid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</w:t>
      </w: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serve the needs of its school. In all cases, however, there must be good governance – for which</w:t>
      </w:r>
      <w:r w:rsid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</w:t>
      </w: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COBIS sets out this advice and these expectations for its members</w:t>
      </w:r>
      <w:r w:rsid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, </w:t>
      </w:r>
      <w:proofErr w:type="gramStart"/>
      <w:r w:rsid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associates</w:t>
      </w:r>
      <w:proofErr w:type="gramEnd"/>
      <w:r w:rsid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</w:t>
      </w: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and affiliates.</w:t>
      </w:r>
    </w:p>
    <w:p w14:paraId="2F11E94E" w14:textId="77777777" w:rsidR="003C04EE" w:rsidRPr="00760BBD" w:rsidRDefault="003C04EE" w:rsidP="003C04EE">
      <w:pPr>
        <w:rPr>
          <w:rFonts w:ascii="Arial" w:eastAsia="Times New Roman" w:hAnsi="Arial" w:cs="Arial"/>
          <w:b/>
          <w:bCs/>
          <w:color w:val="4D4D4D"/>
          <w:sz w:val="24"/>
          <w:szCs w:val="24"/>
          <w:lang w:eastAsia="en-GB"/>
        </w:rPr>
      </w:pPr>
      <w:r w:rsidRPr="00760BBD">
        <w:rPr>
          <w:rFonts w:ascii="Arial" w:eastAsia="Times New Roman" w:hAnsi="Arial" w:cs="Arial"/>
          <w:b/>
          <w:bCs/>
          <w:color w:val="4D4D4D"/>
          <w:sz w:val="24"/>
          <w:szCs w:val="24"/>
          <w:lang w:eastAsia="en-GB"/>
        </w:rPr>
        <w:t>1. Purpose</w:t>
      </w:r>
    </w:p>
    <w:p w14:paraId="4D469A2D" w14:textId="27ABC22A" w:rsidR="003C04EE" w:rsidRPr="00760BBD" w:rsidRDefault="003C04EE" w:rsidP="003C04EE">
      <w:pPr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The Board is the ultimate guardian of the school’s purpose and direction. It is the final authority,</w:t>
      </w:r>
      <w:r w:rsid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</w:t>
      </w: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and final internal court of appeal – responsible for approving all strategy and for monitoring</w:t>
      </w:r>
      <w:r w:rsid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</w:t>
      </w: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quality, and success, at the highest level. As owner and employer (in law or by proxy) it guards</w:t>
      </w:r>
      <w:r w:rsid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</w:t>
      </w: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the financial, educational and employment health of the school. Its approval is required for any</w:t>
      </w:r>
      <w:r w:rsid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</w:t>
      </w: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structural change or senior appointment. It looks ahead and considers the long-term – and it</w:t>
      </w:r>
      <w:r w:rsid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</w:t>
      </w: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looks to its Head as education professional to initiate or to provide it with timely, detailed reports</w:t>
      </w:r>
      <w:r w:rsid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</w:t>
      </w: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and proposals for development. It represents the school in the wider community. Its most</w:t>
      </w:r>
      <w:r w:rsid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</w:t>
      </w: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important task is to select, monitor and support the Head.</w:t>
      </w:r>
    </w:p>
    <w:p w14:paraId="2895840B" w14:textId="77777777" w:rsidR="003C04EE" w:rsidRPr="00760BBD" w:rsidRDefault="003C04EE" w:rsidP="003C04EE">
      <w:pPr>
        <w:rPr>
          <w:rFonts w:ascii="Arial" w:eastAsia="Times New Roman" w:hAnsi="Arial" w:cs="Arial"/>
          <w:b/>
          <w:bCs/>
          <w:color w:val="4D4D4D"/>
          <w:sz w:val="24"/>
          <w:szCs w:val="24"/>
          <w:lang w:eastAsia="en-GB"/>
        </w:rPr>
      </w:pPr>
      <w:r w:rsidRPr="00760BBD">
        <w:rPr>
          <w:rFonts w:ascii="Arial" w:eastAsia="Times New Roman" w:hAnsi="Arial" w:cs="Arial"/>
          <w:b/>
          <w:bCs/>
          <w:color w:val="4D4D4D"/>
          <w:sz w:val="24"/>
          <w:szCs w:val="24"/>
          <w:lang w:eastAsia="en-GB"/>
        </w:rPr>
        <w:t>2. Membership</w:t>
      </w:r>
    </w:p>
    <w:p w14:paraId="0C2CBDEA" w14:textId="7AD6097B" w:rsidR="003C04EE" w:rsidRPr="00760BBD" w:rsidRDefault="003C04EE" w:rsidP="003C04EE">
      <w:pPr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Size: There is no perfect size. Small boards can allow inclusive debate and cover all key areas;</w:t>
      </w:r>
      <w:r w:rsid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</w:t>
      </w: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large boards can work with a committee structure to share the load. COBIS recommends a</w:t>
      </w:r>
      <w:r w:rsid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</w:t>
      </w: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minimum of 6 and maximum of 20, with 8 – 12 as the optimum.</w:t>
      </w:r>
    </w:p>
    <w:p w14:paraId="10D3EFA7" w14:textId="0BC1F7DE" w:rsidR="003C04EE" w:rsidRPr="00760BBD" w:rsidRDefault="003C04EE" w:rsidP="003C04EE">
      <w:pPr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Expertise: It is important for members to be chosen (invited or elected) for their expertise and</w:t>
      </w:r>
      <w:r w:rsid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</w:t>
      </w: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experience – and the balance of the board should be periodically reviewed and refreshed. The</w:t>
      </w:r>
      <w:r w:rsid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</w:t>
      </w: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following areas are especially helpful: legal, financial, human resource management, education.</w:t>
      </w:r>
      <w:r w:rsid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</w:t>
      </w: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Community (political, diplomatic) links and ICT, among other areas, may also be helpful.</w:t>
      </w:r>
    </w:p>
    <w:p w14:paraId="6596E934" w14:textId="1865F727" w:rsidR="003C04EE" w:rsidRPr="00760BBD" w:rsidRDefault="003C04EE" w:rsidP="003C04EE">
      <w:pPr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Representation: There is no requirement for representation by, for example, parents,</w:t>
      </w:r>
      <w:r w:rsid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</w:t>
      </w: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employees, </w:t>
      </w:r>
      <w:proofErr w:type="gramStart"/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alumni</w:t>
      </w:r>
      <w:proofErr w:type="gramEnd"/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or major corporate clients. A good school should nevertheless always have</w:t>
      </w:r>
      <w:r w:rsid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</w:t>
      </w: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in place opportunities for these key constituents to feel consulted and involved, and some may</w:t>
      </w:r>
      <w:r w:rsid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</w:t>
      </w: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be board members. Where any one of these is represented on the board, it should be strictly</w:t>
      </w:r>
      <w:r w:rsid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</w:t>
      </w: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clear that they are there to represent the whole school while ensuring that the general interests</w:t>
      </w:r>
      <w:r w:rsid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</w:t>
      </w: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of their constituency are taken into account – and not as delegates of groups or individuals.</w:t>
      </w:r>
    </w:p>
    <w:p w14:paraId="697D6933" w14:textId="77777777" w:rsidR="003C04EE" w:rsidRPr="00760BBD" w:rsidRDefault="003C04EE" w:rsidP="003C04EE">
      <w:pPr>
        <w:rPr>
          <w:rFonts w:ascii="Arial" w:eastAsia="Times New Roman" w:hAnsi="Arial" w:cs="Arial"/>
          <w:b/>
          <w:bCs/>
          <w:color w:val="4D4D4D"/>
          <w:sz w:val="24"/>
          <w:szCs w:val="24"/>
          <w:lang w:eastAsia="en-GB"/>
        </w:rPr>
      </w:pPr>
      <w:r w:rsidRPr="00760BBD">
        <w:rPr>
          <w:rFonts w:ascii="Arial" w:eastAsia="Times New Roman" w:hAnsi="Arial" w:cs="Arial"/>
          <w:b/>
          <w:bCs/>
          <w:color w:val="4D4D4D"/>
          <w:sz w:val="24"/>
          <w:szCs w:val="24"/>
          <w:lang w:eastAsia="en-GB"/>
        </w:rPr>
        <w:t>3. Rules</w:t>
      </w:r>
    </w:p>
    <w:p w14:paraId="0B39A64B" w14:textId="77777777" w:rsidR="003C04EE" w:rsidRPr="00760BBD" w:rsidRDefault="003C04EE" w:rsidP="003C04EE">
      <w:pPr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Statutes: The Board must have ‘Articles and Instruments of Governance’: a written statement</w:t>
      </w:r>
    </w:p>
    <w:p w14:paraId="7CAB6133" w14:textId="048DD508" w:rsidR="003C04EE" w:rsidRPr="00760BBD" w:rsidRDefault="003C04EE" w:rsidP="003C04EE">
      <w:pPr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of its legal status, purpose, rules for membership (election or appointment), length of service,</w:t>
      </w:r>
      <w:r w:rsid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</w:t>
      </w: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chairmanship and officers, meetings, frequency, </w:t>
      </w:r>
      <w:proofErr w:type="gramStart"/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minutes</w:t>
      </w:r>
      <w:proofErr w:type="gramEnd"/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and voting. These should be available</w:t>
      </w:r>
      <w:r w:rsid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</w:t>
      </w: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to any parent or employee upon request.</w:t>
      </w:r>
    </w:p>
    <w:p w14:paraId="0BA6660F" w14:textId="6DB389AA" w:rsidR="003C04EE" w:rsidRPr="00760BBD" w:rsidRDefault="003C04EE" w:rsidP="003C04EE">
      <w:pPr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lastRenderedPageBreak/>
        <w:t>Procedures: The board may also define, from time to time, its further working procedures – fo</w:t>
      </w:r>
      <w:r w:rsid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r </w:t>
      </w: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example, and committees and their terms of reference, standing or temporary responsibilities,</w:t>
      </w:r>
      <w:r w:rsid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</w:t>
      </w: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campus or circular or project links.</w:t>
      </w:r>
    </w:p>
    <w:p w14:paraId="09A5F76A" w14:textId="77777777" w:rsidR="003C04EE" w:rsidRPr="00760BBD" w:rsidRDefault="003C04EE" w:rsidP="003C04EE">
      <w:pPr>
        <w:rPr>
          <w:rFonts w:ascii="Arial" w:eastAsia="Times New Roman" w:hAnsi="Arial" w:cs="Arial"/>
          <w:b/>
          <w:bCs/>
          <w:color w:val="4D4D4D"/>
          <w:sz w:val="24"/>
          <w:szCs w:val="24"/>
          <w:lang w:eastAsia="en-GB"/>
        </w:rPr>
      </w:pPr>
      <w:r w:rsidRPr="00760BBD">
        <w:rPr>
          <w:rFonts w:ascii="Arial" w:eastAsia="Times New Roman" w:hAnsi="Arial" w:cs="Arial"/>
          <w:b/>
          <w:bCs/>
          <w:color w:val="4D4D4D"/>
          <w:sz w:val="24"/>
          <w:szCs w:val="24"/>
          <w:lang w:eastAsia="en-GB"/>
        </w:rPr>
        <w:t>4. Responsibilities</w:t>
      </w:r>
    </w:p>
    <w:p w14:paraId="14BEB7D8" w14:textId="0F8B7FBE" w:rsidR="003C04EE" w:rsidRPr="00760BBD" w:rsidRDefault="003C04EE" w:rsidP="003C04EE">
      <w:pPr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Governance, and membership of a governing body, is a precious service and a serious</w:t>
      </w:r>
      <w:r w:rsid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</w:t>
      </w: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responsibility – to which members should first ensure they can give time. Confidentiality is key.</w:t>
      </w:r>
    </w:p>
    <w:p w14:paraId="69D97B56" w14:textId="5192C147" w:rsidR="003C04EE" w:rsidRPr="00760BBD" w:rsidRDefault="003C04EE" w:rsidP="003C04EE">
      <w:pPr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The Board is ultimately responsible for all aspects of school life. Local law may prescribe</w:t>
      </w:r>
      <w:r w:rsid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</w:t>
      </w:r>
      <w:proofErr w:type="gramStart"/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particular responsibilities</w:t>
      </w:r>
      <w:proofErr w:type="gramEnd"/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(for example concerning employment or ownership of property) and</w:t>
      </w:r>
      <w:r w:rsid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</w:t>
      </w: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this requires local advice. Beyond this, the board should ensure that suitable arrangements are</w:t>
      </w:r>
      <w:r w:rsid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</w:t>
      </w: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in place for, for example, Safeguarding Children, Health and Safety, the Professional</w:t>
      </w:r>
      <w:r w:rsid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</w:t>
      </w: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Development and Review of Staff, Financial Procedures, Planning and Budgeting, and the</w:t>
      </w:r>
      <w:r w:rsid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</w:t>
      </w: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Monitoring of Educational Results. (These are the major responsibilities. A full description of</w:t>
      </w:r>
      <w:r w:rsid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</w:t>
      </w: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many aspects of school life can be found in the guidance provided by the Independent Schools</w:t>
      </w:r>
      <w:r w:rsid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</w:t>
      </w: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Inspectorate (ISI).</w:t>
      </w:r>
    </w:p>
    <w:p w14:paraId="575D852E" w14:textId="77777777" w:rsidR="003C04EE" w:rsidRPr="00760BBD" w:rsidRDefault="003C04EE" w:rsidP="003C04EE">
      <w:pPr>
        <w:rPr>
          <w:rFonts w:ascii="Arial" w:eastAsia="Times New Roman" w:hAnsi="Arial" w:cs="Arial"/>
          <w:b/>
          <w:bCs/>
          <w:color w:val="4D4D4D"/>
          <w:sz w:val="24"/>
          <w:szCs w:val="24"/>
          <w:lang w:eastAsia="en-GB"/>
        </w:rPr>
      </w:pPr>
      <w:r w:rsidRPr="00760BBD">
        <w:rPr>
          <w:rFonts w:ascii="Arial" w:eastAsia="Times New Roman" w:hAnsi="Arial" w:cs="Arial"/>
          <w:b/>
          <w:bCs/>
          <w:color w:val="4D4D4D"/>
          <w:sz w:val="24"/>
          <w:szCs w:val="24"/>
          <w:lang w:eastAsia="en-GB"/>
        </w:rPr>
        <w:t>5. Relationship with the Head</w:t>
      </w:r>
    </w:p>
    <w:p w14:paraId="699CB3EF" w14:textId="2FD7B94D" w:rsidR="003C04EE" w:rsidRPr="00760BBD" w:rsidRDefault="003C04EE" w:rsidP="003C04EE">
      <w:pPr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The Head is the most important employee of the board. A candid, trusting and supportive</w:t>
      </w:r>
      <w:r w:rsid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</w:t>
      </w: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relationship between Head and board – and most especially between Head and Chair – is</w:t>
      </w:r>
      <w:r w:rsid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</w:t>
      </w: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essential. To this end, some ‘golden </w:t>
      </w:r>
      <w:proofErr w:type="gramStart"/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rules’</w:t>
      </w:r>
      <w:proofErr w:type="gramEnd"/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may help:</w:t>
      </w:r>
    </w:p>
    <w:p w14:paraId="3BAFD375" w14:textId="69F4B4A9" w:rsidR="003C04EE" w:rsidRPr="00760BBD" w:rsidRDefault="003C04EE" w:rsidP="00760BBD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Regular meetings between Head and Chair, between and before board meetings</w:t>
      </w:r>
    </w:p>
    <w:p w14:paraId="0ED41A0B" w14:textId="570FA70F" w:rsidR="003C04EE" w:rsidRPr="00760BBD" w:rsidRDefault="003C04EE" w:rsidP="00760BBD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The Head should normally be included in all board and committee meetings and budge</w:t>
      </w:r>
      <w:r w:rsidR="00760BBD"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t </w:t>
      </w: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planning and discussions, and her/his views always considered</w:t>
      </w:r>
    </w:p>
    <w:p w14:paraId="32DB2BE8" w14:textId="30F31024" w:rsidR="003C04EE" w:rsidRPr="00760BBD" w:rsidRDefault="003C04EE" w:rsidP="00760BBD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The Head reports to the board; all other staff report to the Head. The board should not</w:t>
      </w:r>
      <w:r w:rsidR="00760BBD"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</w:t>
      </w: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directly manage individual staff</w:t>
      </w:r>
    </w:p>
    <w:p w14:paraId="0D757021" w14:textId="77777777" w:rsidR="00760BBD" w:rsidRPr="00760BBD" w:rsidRDefault="003C04EE" w:rsidP="00760BBD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All complaints should immediately be referred or redirected to the Head, and not</w:t>
      </w:r>
      <w:r w:rsidR="00760BBD"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</w:t>
      </w: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governors, following a published complaints procedure. Governors should not normally</w:t>
      </w:r>
      <w:r w:rsidR="00760BBD"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</w:t>
      </w: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deal directly with staff or parents. (The only exception should be an appeal </w:t>
      </w:r>
      <w:proofErr w:type="gramStart"/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stage</w:t>
      </w:r>
      <w:proofErr w:type="gramEnd"/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or a</w:t>
      </w:r>
      <w:r w:rsidR="00760BBD"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</w:t>
      </w: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formal grievance addressed to the Chair of the board.)</w:t>
      </w:r>
    </w:p>
    <w:p w14:paraId="19ADEDD6" w14:textId="792B4EA8" w:rsidR="003C04EE" w:rsidRPr="00760BBD" w:rsidRDefault="003C04EE" w:rsidP="003C04EE">
      <w:pPr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For the Head, ‘golden rules’ include:</w:t>
      </w:r>
    </w:p>
    <w:p w14:paraId="4089DB26" w14:textId="5C6F86B3" w:rsidR="003C04EE" w:rsidRPr="00760BBD" w:rsidRDefault="003C04EE" w:rsidP="00760BBD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No surprises for the board</w:t>
      </w:r>
    </w:p>
    <w:p w14:paraId="03A91853" w14:textId="405E5FA8" w:rsidR="003C04EE" w:rsidRPr="00760BBD" w:rsidRDefault="003C04EE" w:rsidP="00760BBD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Share all significant news – good and bad – early</w:t>
      </w:r>
    </w:p>
    <w:p w14:paraId="4DDA76D0" w14:textId="03377498" w:rsidR="003C04EE" w:rsidRPr="00760BBD" w:rsidRDefault="003C04EE" w:rsidP="003C04EE">
      <w:pPr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Together, the board and Head can then share the journey – including dealing with criticism and</w:t>
      </w:r>
      <w:r w:rsid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</w:t>
      </w: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enjoying educational success.</w:t>
      </w:r>
    </w:p>
    <w:p w14:paraId="510CF289" w14:textId="77777777" w:rsidR="003C04EE" w:rsidRPr="00760BBD" w:rsidRDefault="003C04EE" w:rsidP="003C04EE">
      <w:pPr>
        <w:rPr>
          <w:rFonts w:ascii="Arial" w:eastAsia="Times New Roman" w:hAnsi="Arial" w:cs="Arial"/>
          <w:b/>
          <w:bCs/>
          <w:color w:val="4D4D4D"/>
          <w:sz w:val="24"/>
          <w:szCs w:val="24"/>
          <w:lang w:eastAsia="en-GB"/>
        </w:rPr>
      </w:pPr>
      <w:r w:rsidRPr="00760BBD">
        <w:rPr>
          <w:rFonts w:ascii="Arial" w:eastAsia="Times New Roman" w:hAnsi="Arial" w:cs="Arial"/>
          <w:b/>
          <w:bCs/>
          <w:color w:val="4D4D4D"/>
          <w:sz w:val="24"/>
          <w:szCs w:val="24"/>
          <w:lang w:eastAsia="en-GB"/>
        </w:rPr>
        <w:t>6. Governor Conduct</w:t>
      </w:r>
    </w:p>
    <w:p w14:paraId="2D3EB1A9" w14:textId="3C7A99AD" w:rsidR="003C04EE" w:rsidRPr="00760BBD" w:rsidRDefault="003C04EE" w:rsidP="003C04EE">
      <w:pPr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The Governing Body (and its Appointing Body) collectively, and its members individually, </w:t>
      </w:r>
      <w:proofErr w:type="gramStart"/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are</w:t>
      </w:r>
      <w:r w:rsid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</w:t>
      </w: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expected to exemplify good conduct at all times</w:t>
      </w:r>
      <w:proofErr w:type="gramEnd"/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. This includes, but not exclusively, that:</w:t>
      </w:r>
    </w:p>
    <w:p w14:paraId="05296C62" w14:textId="1B18A3F5" w:rsidR="003C04EE" w:rsidRPr="00833471" w:rsidRDefault="003C04EE" w:rsidP="00833471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833471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The school’s governing rules, Articles of Association and policies shall be faithfully</w:t>
      </w:r>
      <w:r w:rsidR="00760BBD" w:rsidRPr="00833471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f</w:t>
      </w:r>
      <w:r w:rsidRPr="00833471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ollowed</w:t>
      </w:r>
    </w:p>
    <w:p w14:paraId="0AAFFA04" w14:textId="77777777" w:rsidR="00760BBD" w:rsidRPr="00833471" w:rsidRDefault="003C04EE" w:rsidP="00833471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833471">
        <w:rPr>
          <w:rFonts w:ascii="Arial" w:eastAsia="Times New Roman" w:hAnsi="Arial" w:cs="Arial"/>
          <w:color w:val="4D4D4D"/>
          <w:sz w:val="24"/>
          <w:szCs w:val="24"/>
          <w:lang w:eastAsia="en-GB"/>
        </w:rPr>
        <w:lastRenderedPageBreak/>
        <w:t>Governors shall act always in the best interests of the school, preserving its well-bring</w:t>
      </w:r>
      <w:r w:rsidR="00760BBD" w:rsidRPr="00833471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</w:t>
      </w:r>
      <w:r w:rsidRPr="00833471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and reputation</w:t>
      </w:r>
    </w:p>
    <w:p w14:paraId="019C9508" w14:textId="77777777" w:rsidR="00760BBD" w:rsidRPr="00833471" w:rsidRDefault="003C04EE" w:rsidP="00833471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833471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All conflicts of interest (financial, contractual, </w:t>
      </w:r>
      <w:proofErr w:type="gramStart"/>
      <w:r w:rsidRPr="00833471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business</w:t>
      </w:r>
      <w:proofErr w:type="gramEnd"/>
      <w:r w:rsidRPr="00833471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or personal) shall be openly</w:t>
      </w:r>
      <w:r w:rsidR="00760BBD" w:rsidRPr="00833471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</w:t>
      </w:r>
      <w:r w:rsidRPr="00833471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declared and avoided</w:t>
      </w:r>
    </w:p>
    <w:p w14:paraId="4BDE8406" w14:textId="77777777" w:rsidR="00760BBD" w:rsidRPr="00833471" w:rsidRDefault="003C04EE" w:rsidP="00833471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833471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Financial dealings shall be conducted with due probity and legality</w:t>
      </w:r>
    </w:p>
    <w:p w14:paraId="15131434" w14:textId="77777777" w:rsidR="00833471" w:rsidRPr="00833471" w:rsidRDefault="003C04EE" w:rsidP="00833471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833471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Governors shall show respect for each other, the Head, staff, </w:t>
      </w:r>
      <w:proofErr w:type="gramStart"/>
      <w:r w:rsidRPr="00833471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students</w:t>
      </w:r>
      <w:proofErr w:type="gramEnd"/>
      <w:r w:rsidRPr="00833471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and their parents</w:t>
      </w:r>
    </w:p>
    <w:p w14:paraId="3811EEDB" w14:textId="77777777" w:rsidR="00833471" w:rsidRDefault="003C04EE" w:rsidP="003C04EE">
      <w:pPr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Where there is, in the sole view of the COBIS Executive Committee, a breach of good governance,</w:t>
      </w:r>
      <w:r w:rsidR="00833471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</w:t>
      </w: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this may not only jeopardise the well-being of the school, but also the school’s membership of COBIS.</w:t>
      </w:r>
    </w:p>
    <w:p w14:paraId="29919AF5" w14:textId="18D4DE49" w:rsidR="003C04EE" w:rsidRPr="00760BBD" w:rsidRDefault="003C04EE" w:rsidP="003C04EE">
      <w:pPr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A note on governor liability: Boards are advised to consider insurance for liability. In the event of</w:t>
      </w:r>
      <w:r w:rsidR="00833471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</w:t>
      </w: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dispute, the following are essential: demonstrating that all decisions were taken in good faith, and a</w:t>
      </w:r>
      <w:r w:rsidR="00833471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</w:t>
      </w: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reliable written record (minutes) of meetings and decisions. The legal status of the school or its</w:t>
      </w:r>
      <w:r w:rsidR="00833471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</w:t>
      </w: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board as owners or guardians will also determine personal liability – and its statutes sometimes limit</w:t>
      </w:r>
      <w:r w:rsidR="00833471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</w:t>
      </w: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this to the lowest coin. Insurance advice, from the school’s broker, is nevertheless a sensible</w:t>
      </w:r>
      <w:r w:rsidR="00833471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</w:t>
      </w: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precaution.</w:t>
      </w:r>
    </w:p>
    <w:p w14:paraId="6907DCC8" w14:textId="4FECB77B" w:rsidR="003C04EE" w:rsidRPr="00760BBD" w:rsidRDefault="003C04EE" w:rsidP="003C04EE">
      <w:pPr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Further advice: Many organisations offer information and governance. COBIS recommend the</w:t>
      </w:r>
      <w:r w:rsidR="00833471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</w:t>
      </w: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experienced and detailed advice of The Association of Governing Schools (</w:t>
      </w:r>
      <w:proofErr w:type="spellStart"/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AGBIS</w:t>
      </w:r>
      <w:proofErr w:type="spellEnd"/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) which, like</w:t>
      </w:r>
      <w:r w:rsidR="00833471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</w:t>
      </w:r>
      <w:r w:rsidRPr="00760BBD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COBIS, is a constituent member of the Independent Schools Council based in the United Kingdom.</w:t>
      </w:r>
    </w:p>
    <w:sectPr w:rsidR="003C04EE" w:rsidRPr="00760BBD" w:rsidSect="005E35DF">
      <w:headerReference w:type="default" r:id="rId10"/>
      <w:footerReference w:type="default" r:id="rId11"/>
      <w:pgSz w:w="11906" w:h="16838"/>
      <w:pgMar w:top="1702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E3AB2" w14:textId="77777777" w:rsidR="00E91E66" w:rsidRDefault="00E91E66">
      <w:pPr>
        <w:spacing w:after="0" w:line="240" w:lineRule="auto"/>
      </w:pPr>
      <w:r>
        <w:separator/>
      </w:r>
    </w:p>
  </w:endnote>
  <w:endnote w:type="continuationSeparator" w:id="0">
    <w:p w14:paraId="1E9C1F50" w14:textId="77777777" w:rsidR="00E91E66" w:rsidRDefault="00E9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85643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A03B7C" w14:textId="77777777" w:rsidR="00F250FC" w:rsidRDefault="00B85DA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16EC20" w14:textId="77777777" w:rsidR="00F250FC" w:rsidRDefault="00E91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5F63B" w14:textId="77777777" w:rsidR="00E91E66" w:rsidRDefault="00E91E66">
      <w:pPr>
        <w:spacing w:after="0" w:line="240" w:lineRule="auto"/>
      </w:pPr>
      <w:r>
        <w:separator/>
      </w:r>
    </w:p>
  </w:footnote>
  <w:footnote w:type="continuationSeparator" w:id="0">
    <w:p w14:paraId="2E161613" w14:textId="77777777" w:rsidR="00E91E66" w:rsidRDefault="00E91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CD971" w14:textId="77777777" w:rsidR="00F250FC" w:rsidRDefault="00B85DA9" w:rsidP="00F250FC">
    <w:pPr>
      <w:pStyle w:val="Header"/>
      <w:jc w:val="right"/>
      <w:rPr>
        <w:rFonts w:ascii="Arial" w:eastAsia="Arial" w:hAnsi="Arial" w:cs="Arial"/>
        <w:i/>
        <w:iCs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F38F254" wp14:editId="56B56F8F">
          <wp:simplePos x="0" y="0"/>
          <wp:positionH relativeFrom="column">
            <wp:posOffset>-228600</wp:posOffset>
          </wp:positionH>
          <wp:positionV relativeFrom="paragraph">
            <wp:posOffset>-298954</wp:posOffset>
          </wp:positionV>
          <wp:extent cx="2977936" cy="927100"/>
          <wp:effectExtent l="0" t="0" r="0" b="0"/>
          <wp:wrapThrough wrapText="bothSides">
            <wp:wrapPolygon edited="0">
              <wp:start x="2073" y="3995"/>
              <wp:lineTo x="1244" y="13759"/>
              <wp:lineTo x="1658" y="17310"/>
              <wp:lineTo x="2902" y="17310"/>
              <wp:lineTo x="19762" y="15534"/>
              <wp:lineTo x="20315" y="13315"/>
              <wp:lineTo x="18518" y="11984"/>
              <wp:lineTo x="18795" y="9764"/>
              <wp:lineTo x="2626" y="3995"/>
              <wp:lineTo x="2073" y="3995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936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6FFE7E44" w14:textId="77777777" w:rsidR="00F250FC" w:rsidRDefault="00E91E66" w:rsidP="00F250FC">
    <w:pPr>
      <w:pStyle w:val="Header"/>
      <w:jc w:val="right"/>
      <w:rPr>
        <w:rFonts w:ascii="Arial" w:hAnsi="Arial" w:cs="Arial"/>
        <w:i/>
        <w:sz w:val="20"/>
      </w:rPr>
    </w:pPr>
  </w:p>
  <w:p w14:paraId="113EFC14" w14:textId="77777777" w:rsidR="00F250FC" w:rsidRPr="00F86CE6" w:rsidRDefault="00E91E66" w:rsidP="00F250FC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B328F"/>
    <w:multiLevelType w:val="multilevel"/>
    <w:tmpl w:val="C058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874B2"/>
    <w:multiLevelType w:val="hybridMultilevel"/>
    <w:tmpl w:val="5B08C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725FC"/>
    <w:multiLevelType w:val="hybridMultilevel"/>
    <w:tmpl w:val="D256C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C3060"/>
    <w:multiLevelType w:val="multilevel"/>
    <w:tmpl w:val="3CE2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5A669B"/>
    <w:multiLevelType w:val="hybridMultilevel"/>
    <w:tmpl w:val="32DE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33F57"/>
    <w:multiLevelType w:val="hybridMultilevel"/>
    <w:tmpl w:val="35487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A02B4"/>
    <w:multiLevelType w:val="multilevel"/>
    <w:tmpl w:val="E384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A70D2E"/>
    <w:multiLevelType w:val="multilevel"/>
    <w:tmpl w:val="9FA2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E55250"/>
    <w:multiLevelType w:val="multilevel"/>
    <w:tmpl w:val="02C0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8732EA"/>
    <w:multiLevelType w:val="hybridMultilevel"/>
    <w:tmpl w:val="CD886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DA9"/>
    <w:rsid w:val="0020380F"/>
    <w:rsid w:val="003C04EE"/>
    <w:rsid w:val="00546195"/>
    <w:rsid w:val="00760BBD"/>
    <w:rsid w:val="00833471"/>
    <w:rsid w:val="008756E8"/>
    <w:rsid w:val="00B85DA9"/>
    <w:rsid w:val="00D7189B"/>
    <w:rsid w:val="00E91E66"/>
    <w:rsid w:val="00F3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E8AC3"/>
  <w15:chartTrackingRefBased/>
  <w15:docId w15:val="{A2779E1F-6D32-48AB-A6B3-4273535E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DA9"/>
  </w:style>
  <w:style w:type="paragraph" w:styleId="Footer">
    <w:name w:val="footer"/>
    <w:basedOn w:val="Normal"/>
    <w:link w:val="FooterChar"/>
    <w:uiPriority w:val="99"/>
    <w:unhideWhenUsed/>
    <w:rsid w:val="00B85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DA9"/>
  </w:style>
  <w:style w:type="character" w:styleId="Hyperlink">
    <w:name w:val="Hyperlink"/>
    <w:basedOn w:val="DefaultParagraphFont"/>
    <w:uiPriority w:val="99"/>
    <w:unhideWhenUsed/>
    <w:rsid w:val="00D718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8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1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9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2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605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4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5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2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024">
              <w:marLeft w:val="-300"/>
              <w:marRight w:val="-30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3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1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6536435">
              <w:marLeft w:val="-300"/>
              <w:marRight w:val="-30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9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4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81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24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6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43346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0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D262BBFB2EF49BCF616C4D31E6097" ma:contentTypeVersion="14" ma:contentTypeDescription="Create a new document." ma:contentTypeScope="" ma:versionID="981bc7517c68275828b4034ef5aa0fca">
  <xsd:schema xmlns:xsd="http://www.w3.org/2001/XMLSchema" xmlns:xs="http://www.w3.org/2001/XMLSchema" xmlns:p="http://schemas.microsoft.com/office/2006/metadata/properties" xmlns:ns2="73663b0a-8a1f-4c54-9eb9-3f82c4af7123" xmlns:ns3="f7bc1c29-ab63-484e-9404-58e06a146d3a" targetNamespace="http://schemas.microsoft.com/office/2006/metadata/properties" ma:root="true" ma:fieldsID="1b3b7006f78ac102488ed4a6478f10ac" ns2:_="" ns3:_="">
    <xsd:import namespace="73663b0a-8a1f-4c54-9eb9-3f82c4af7123"/>
    <xsd:import namespace="f7bc1c29-ab63-484e-9404-58e06a146d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63b0a-8a1f-4c54-9eb9-3f82c4af71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c1c29-ab63-484e-9404-58e06a146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7C49EF-F136-48EF-8AB3-741AEA7BEF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9834F0-134E-4DBA-BC4B-81232C41BA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32E73D-5FC2-429A-B147-E322863BE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63b0a-8a1f-4c54-9eb9-3f82c4af7123"/>
    <ds:schemaRef ds:uri="f7bc1c29-ab63-484e-9404-58e06a146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Rogers</dc:creator>
  <cp:keywords/>
  <dc:description/>
  <cp:lastModifiedBy>Margaret Garrard</cp:lastModifiedBy>
  <cp:revision>3</cp:revision>
  <dcterms:created xsi:type="dcterms:W3CDTF">2020-09-05T12:29:00Z</dcterms:created>
  <dcterms:modified xsi:type="dcterms:W3CDTF">2020-09-05T12:35:00Z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0x010100BB0D262BBFB2EF49BCF616C4D31E6097</vt:lpwstr>
  </property>
</Properties>
</file>